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.2020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ПОС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Cs w:val="24"/>
                <w:lang w:val="ru-RU"/>
              </w:rPr>
              <w:t>Площадки и дороги согласно ТУ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17 900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21 500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LibreOffice/6.2.5.2$Windows_X86_64 LibreOffice_project/1ec314fa52f458adc18c4f025c545a4e8b22c159</Application>
  <Pages>2</Pages>
  <Words>310</Words>
  <Characters>2069</Characters>
  <CharactersWithSpaces>2326</CharactersWithSpaces>
  <Paragraphs>62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2020-09-07T14:43:48Z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